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D9" w:rsidRDefault="00AB194C" w:rsidP="00E456E5">
      <w:pPr>
        <w:spacing w:line="360" w:lineRule="auto"/>
        <w:jc w:val="both"/>
        <w:rPr>
          <w:rFonts w:cs="Arial"/>
          <w:b/>
          <w:color w:val="000000" w:themeColor="text1"/>
          <w:sz w:val="20"/>
        </w:rPr>
      </w:pPr>
      <w:r>
        <w:rPr>
          <w:rFonts w:cs="Arial"/>
          <w:b/>
          <w:color w:val="000000" w:themeColor="text1"/>
          <w:sz w:val="20"/>
        </w:rPr>
        <w:t xml:space="preserve">Nueva </w:t>
      </w:r>
      <w:r w:rsidR="002E56D9">
        <w:rPr>
          <w:rFonts w:cs="Arial"/>
          <w:b/>
          <w:color w:val="000000" w:themeColor="text1"/>
          <w:sz w:val="20"/>
        </w:rPr>
        <w:t>Ley de Convenio Colectivo de Docentes Universitarios</w:t>
      </w:r>
    </w:p>
    <w:p w:rsidR="002E56D9" w:rsidRDefault="002E56D9" w:rsidP="00E456E5">
      <w:pPr>
        <w:spacing w:line="360" w:lineRule="auto"/>
        <w:jc w:val="both"/>
        <w:rPr>
          <w:rFonts w:cs="Arial"/>
          <w:b/>
          <w:color w:val="000000" w:themeColor="text1"/>
          <w:sz w:val="20"/>
        </w:rPr>
      </w:pPr>
    </w:p>
    <w:p w:rsidR="00DA1E3E" w:rsidRDefault="00DA1E3E" w:rsidP="00E456E5">
      <w:pPr>
        <w:spacing w:line="360" w:lineRule="auto"/>
        <w:jc w:val="both"/>
        <w:rPr>
          <w:rFonts w:cs="Arial"/>
          <w:b/>
          <w:color w:val="000000" w:themeColor="text1"/>
          <w:sz w:val="20"/>
        </w:rPr>
      </w:pPr>
    </w:p>
    <w:p w:rsidR="00E456E5" w:rsidRDefault="00E456E5" w:rsidP="00E456E5">
      <w:pPr>
        <w:spacing w:line="360" w:lineRule="auto"/>
        <w:jc w:val="both"/>
        <w:rPr>
          <w:rFonts w:cs="Arial"/>
          <w:b/>
          <w:color w:val="000000" w:themeColor="text1"/>
          <w:sz w:val="20"/>
        </w:rPr>
      </w:pPr>
      <w:r w:rsidRPr="00E456E5">
        <w:rPr>
          <w:rFonts w:cs="Arial"/>
          <w:b/>
          <w:color w:val="000000" w:themeColor="text1"/>
          <w:sz w:val="20"/>
        </w:rPr>
        <w:t>La Secretaría de Políticas Universitarias (SPU), impuso desde febrero de 2011, la discusión del tem</w:t>
      </w:r>
      <w:r w:rsidR="00F84798">
        <w:rPr>
          <w:rFonts w:cs="Arial"/>
          <w:b/>
          <w:color w:val="000000" w:themeColor="text1"/>
          <w:sz w:val="20"/>
        </w:rPr>
        <w:t>a “CONVENIO COLECTIVO DE TRABAJO DOCENTE</w:t>
      </w:r>
      <w:r w:rsidRPr="00E456E5">
        <w:rPr>
          <w:rFonts w:cs="Arial"/>
          <w:b/>
          <w:color w:val="000000" w:themeColor="text1"/>
          <w:sz w:val="20"/>
        </w:rPr>
        <w:t>, en las UUNN</w:t>
      </w:r>
      <w:r w:rsidR="00F84798">
        <w:rPr>
          <w:rFonts w:cs="Arial"/>
          <w:b/>
          <w:color w:val="000000" w:themeColor="text1"/>
          <w:sz w:val="20"/>
        </w:rPr>
        <w:t>”</w:t>
      </w:r>
      <w:r w:rsidRPr="00E456E5">
        <w:rPr>
          <w:rFonts w:cs="Arial"/>
          <w:b/>
          <w:color w:val="000000" w:themeColor="text1"/>
          <w:sz w:val="20"/>
        </w:rPr>
        <w:t xml:space="preserve">, al que se sumaron todos los gremios Universitarios con decisión propia y entusiasmo a esta </w:t>
      </w:r>
      <w:r w:rsidRPr="002E56D9">
        <w:rPr>
          <w:rFonts w:cs="Arial"/>
          <w:b/>
          <w:color w:val="000000" w:themeColor="text1"/>
          <w:sz w:val="20"/>
        </w:rPr>
        <w:t>importantísima tarea</w:t>
      </w:r>
      <w:r w:rsidRPr="00E456E5">
        <w:rPr>
          <w:rFonts w:cs="Arial"/>
          <w:b/>
          <w:color w:val="000000" w:themeColor="text1"/>
          <w:sz w:val="20"/>
        </w:rPr>
        <w:t xml:space="preserve">. El duro trabajo realizado desde la iniciación de las tareas con </w:t>
      </w:r>
      <w:r w:rsidRPr="002E56D9">
        <w:rPr>
          <w:rFonts w:cs="Arial"/>
          <w:b/>
          <w:color w:val="000000" w:themeColor="text1"/>
          <w:sz w:val="20"/>
        </w:rPr>
        <w:t>debate, propuestas y consenso</w:t>
      </w:r>
      <w:r w:rsidRPr="00E456E5">
        <w:rPr>
          <w:rFonts w:cs="Arial"/>
          <w:b/>
          <w:color w:val="000000" w:themeColor="text1"/>
          <w:sz w:val="20"/>
        </w:rPr>
        <w:t>, para cada artículo, culminó recién en Junio de 2015, se debatió mucho e intensamente, en paritarias, entre los representantes de los Gremios y del Empleador-el CIN-</w:t>
      </w:r>
    </w:p>
    <w:p w:rsidR="00AB194C" w:rsidRDefault="00AB194C" w:rsidP="00E456E5">
      <w:pPr>
        <w:spacing w:line="360" w:lineRule="auto"/>
        <w:jc w:val="both"/>
        <w:rPr>
          <w:rFonts w:cs="Arial"/>
          <w:b/>
          <w:color w:val="000000" w:themeColor="text1"/>
          <w:sz w:val="20"/>
        </w:rPr>
      </w:pPr>
    </w:p>
    <w:p w:rsidR="00AB194C" w:rsidRPr="00AB194C" w:rsidRDefault="00AB194C" w:rsidP="00AB194C">
      <w:pPr>
        <w:spacing w:line="360" w:lineRule="auto"/>
        <w:jc w:val="both"/>
        <w:rPr>
          <w:rFonts w:cs="Arial"/>
          <w:b/>
          <w:color w:val="000000" w:themeColor="text1"/>
          <w:sz w:val="20"/>
        </w:rPr>
      </w:pPr>
      <w:r>
        <w:rPr>
          <w:rFonts w:cs="Arial"/>
          <w:b/>
          <w:color w:val="000000" w:themeColor="text1"/>
          <w:sz w:val="20"/>
        </w:rPr>
        <w:t>¿Q</w:t>
      </w:r>
      <w:r w:rsidRPr="00AB194C">
        <w:rPr>
          <w:rFonts w:cs="Arial"/>
          <w:b/>
          <w:color w:val="000000" w:themeColor="text1"/>
          <w:sz w:val="20"/>
        </w:rPr>
        <w:t>ue implica este convenio p</w:t>
      </w:r>
      <w:r>
        <w:rPr>
          <w:rFonts w:cs="Arial"/>
          <w:b/>
          <w:color w:val="000000" w:themeColor="text1"/>
          <w:sz w:val="20"/>
        </w:rPr>
        <w:t>ara los docentes universitarios?</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1.- Se fija un piso de derechos común para todos los docentes. Esto significa la igualdad que la Ley le otorga a todos los docentes de UUNN.</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2.- Se fortalece la idea de Sistema Universitario. En el marco de la autonomía, pocas normas establecen un patrón común a todas las UUNN existentes y cuando se crean nuevas universidades.</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3.- La estabilidad de los docentes interinos. Se le encuentra un punto de solución al grave y antiguo problema de los docentes interinos, que  impacta sobre más del 60% de la población de docentes, ya que eran designados precariamente año tras año. Si bien los estatutos establecen que la designación interina es una excepción a la regla, esta discrecionalidad se cumplía  como una regla en muchas universidades. La inclusión de los interinos en el cuerpo docente cambia el equilibrio de poder al interior de las distintas facultades y universidades. Por ejemplo, en las universidades donde hasta el 30/06/2015  los interinos no votaban, se modificaran los padrones; y en aquellas donde ya votan, en las categorías de profesores se generan nuevos competidores para los cargos electivos. Esto no quita importancia a la solución que se encontró a la redacción final del Convenio Colectivo. Se fija la estabilidad en el cargo de los docentes interinos y la no modificación de su situación de revista con dos modalidades diferentes de acuerdo a su antigüedad en un cargo concursable: Para los que tienen 5 o más años en el cargo, a contar desde el 2/7/2015 hacia atrás en el tiempo, será la paritaria particular la que establezca la modalidad de ingreso a la carrera docente, mientras esto no ocurra o no haya acuerdo con las autoridades, no se le puede modificar su situación ni llamar a concurso el cargo. Para los que tienen entre 2 y 5 años de antigüedad se les garantiza la continuidad hasta que el cargo sea cubierto por concurso. Por ello hablamos de acercarnos a la estabilidad de los docentes, aunque aún no se alcance en su totalidad.</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4.-. En el caso de las Universidades Nuevas se garantizan de derechos elementales, el impacto del piso común de derechos será el mismo en todas las instituciones universitarias tales como el de tener licencia anual, por maternidad y enfermedad, designaciones, cargas horarias y remuneraciones acordes a su tarea, ya que ninguno de estos derechos se establecían al crearlas, y a veces pasa mucho tiempo hasta que se dictan las normas internas que los regulan.</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 xml:space="preserve">5.- Para todas las Universidades, se garantiza el derecho a la carrera docente con su régimen de ingreso, permanencia y estabilidad vinculada a procesos de evaluación, ascensos y promociones. A la vez se establecen la jerarquización de la labor docente, y se establecen derechos básicos para sus organizaciones sindicales y sus integrantes. Se incluye además Concurso público y cerrado para los JTP. La cobertura de vacantes transitoria o definitiva, se realizará por promoción transitoria de docentes ordinarios o regulares de la </w:t>
      </w:r>
      <w:proofErr w:type="spellStart"/>
      <w:r w:rsidRPr="00AB194C">
        <w:rPr>
          <w:rFonts w:cs="Arial"/>
          <w:b/>
          <w:color w:val="000000" w:themeColor="text1"/>
          <w:sz w:val="20"/>
        </w:rPr>
        <w:t>categoria</w:t>
      </w:r>
      <w:proofErr w:type="spellEnd"/>
      <w:r w:rsidRPr="00AB194C">
        <w:rPr>
          <w:rFonts w:cs="Arial"/>
          <w:b/>
          <w:color w:val="000000" w:themeColor="text1"/>
          <w:sz w:val="20"/>
        </w:rPr>
        <w:t xml:space="preserve"> inmediata inferior. Al docente que solicito C.A.D., se lo evaluará cada 4 años o período mayor acordado en paritaria particular.</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 xml:space="preserve">6.- Se establecen las bases para garantizar el futuro del salario, dotándolo de un nomenclador universitario y preuniversitario, con sus respectivas estructuras, funciones, valores futuros de adicionales, y un programa de jerarquización que permitirá que en los próximos años alcancemos los salarios docentes universitarios con el mayor poder adquisitivo desde la recuperación de la democracia. </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7.- Veedor gremial: A decisión de la entidad gremial local, podrá participar en los concursos por antecedentes y oposición o cuando el docente solicita C.A.D., un veedor gremial.</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8.- Condiciones y ambiente de trabajo: Se incorpora la accesibilidad y se crean, la Comisión Paritaria Local (</w:t>
      </w:r>
      <w:proofErr w:type="spellStart"/>
      <w:r w:rsidRPr="00AB194C">
        <w:rPr>
          <w:rFonts w:cs="Arial"/>
          <w:b/>
          <w:color w:val="000000" w:themeColor="text1"/>
          <w:sz w:val="20"/>
        </w:rPr>
        <w:t>CCyATNP</w:t>
      </w:r>
      <w:proofErr w:type="spellEnd"/>
      <w:r w:rsidRPr="00AB194C">
        <w:rPr>
          <w:rFonts w:cs="Arial"/>
          <w:b/>
          <w:color w:val="000000" w:themeColor="text1"/>
          <w:sz w:val="20"/>
        </w:rPr>
        <w:t>) y la Comisión Paritaria Nacional (</w:t>
      </w:r>
      <w:proofErr w:type="spellStart"/>
      <w:r w:rsidRPr="00AB194C">
        <w:rPr>
          <w:rFonts w:cs="Arial"/>
          <w:b/>
          <w:color w:val="000000" w:themeColor="text1"/>
          <w:sz w:val="20"/>
        </w:rPr>
        <w:t>CCyATNG</w:t>
      </w:r>
      <w:proofErr w:type="spellEnd"/>
      <w:r w:rsidRPr="00AB194C">
        <w:rPr>
          <w:rFonts w:cs="Arial"/>
          <w:b/>
          <w:color w:val="000000" w:themeColor="text1"/>
          <w:sz w:val="20"/>
        </w:rPr>
        <w:t>). Incluyendo especialista legal y médico, y la obligatoriedad del examen pre-ocupacional, gratuito, confidencial y obligatorio.</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9.- Perfeccionamiento docente gratuito: Se garantiza el perfeccionamiento docente en forma gratuita y podrá realizarse dentro del horario normal de trabajo.</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10.- Comisión de Seguimiento e Interpretación: Se crea la C.S.I. para los casos que resulte infructuosa y/o conflictiva la paritaria local. Estará conformada dicha Comisión  en un 50 % por Asociaciones gremiales (6 integrantes) y el otro 50 % serán designados por el CIN (los otros 6 integrantes).</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11.- Concurrencia de Normas: En caso que un evento o situación particular implique doble interpretación o más de una norma contemple el caso, se aplicará la norma más favorable al docente.</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12.-  Adicional por dedicación única y excluyente: Esto significa que a decisión pura y exclusiva del profesor puede solicitar el  bloqueo de título, y de ese modo tiene relación laboral solo con esa única UUNN. El interesado debe poseer una carga horaria entre 40 hasta 50 horas semanales, solo en esa UUNN. Se incluyó lo acordado en la paritaria salarial nacional de 2011 por lo tanto el compromiso es que sea de un 25 %, ese adicional.</w:t>
      </w:r>
    </w:p>
    <w:p w:rsidR="00AB194C" w:rsidRPr="00AB194C" w:rsidRDefault="00AB194C" w:rsidP="00AB194C">
      <w:pPr>
        <w:spacing w:line="360" w:lineRule="auto"/>
        <w:jc w:val="both"/>
        <w:rPr>
          <w:rFonts w:cs="Arial"/>
          <w:b/>
          <w:color w:val="000000" w:themeColor="text1"/>
          <w:sz w:val="20"/>
        </w:rPr>
      </w:pPr>
      <w:r w:rsidRPr="00AB194C">
        <w:rPr>
          <w:rFonts w:cs="Arial"/>
          <w:b/>
          <w:color w:val="000000" w:themeColor="text1"/>
          <w:sz w:val="20"/>
        </w:rPr>
        <w:t>13.- Licencias, Justificaciones y Franquicias: Se logró ampliar el tiempo de licencia materna y post maternidad. Se deben aceptar las llegadas tarde sin descuento por razones de fuerza mayor (piquetes, atascamiento de tránsito, condiciones climáticas extremas, o similares). Inclusión de la Licencia por mayor jerarquía pero adicionándole la Licencia por mayor remuneración.</w:t>
      </w:r>
    </w:p>
    <w:p w:rsidR="00AB194C" w:rsidRPr="00E456E5" w:rsidRDefault="00AB194C" w:rsidP="00AB194C">
      <w:pPr>
        <w:spacing w:line="360" w:lineRule="auto"/>
        <w:jc w:val="both"/>
        <w:rPr>
          <w:rFonts w:cs="Arial"/>
          <w:b/>
          <w:color w:val="000000" w:themeColor="text1"/>
          <w:sz w:val="20"/>
        </w:rPr>
      </w:pPr>
      <w:r w:rsidRPr="00AB194C">
        <w:rPr>
          <w:rFonts w:cs="Arial"/>
          <w:b/>
          <w:color w:val="000000" w:themeColor="text1"/>
          <w:sz w:val="20"/>
        </w:rPr>
        <w:t xml:space="preserve">14.- </w:t>
      </w:r>
      <w:proofErr w:type="spellStart"/>
      <w:r w:rsidRPr="00AB194C">
        <w:rPr>
          <w:rFonts w:cs="Arial"/>
          <w:b/>
          <w:color w:val="000000" w:themeColor="text1"/>
          <w:sz w:val="20"/>
        </w:rPr>
        <w:t>Ultraactividad</w:t>
      </w:r>
      <w:proofErr w:type="spellEnd"/>
      <w:r w:rsidRPr="00AB194C">
        <w:rPr>
          <w:rFonts w:cs="Arial"/>
          <w:b/>
          <w:color w:val="000000" w:themeColor="text1"/>
          <w:sz w:val="20"/>
        </w:rPr>
        <w:t>: Este CCT tendrá vigencia como mínimo 2 años. Pero si no se acuerda la nueva redacción y o modificación al presente texto, continúa vigente. Es decir continúa su vigencia hasta que otra norma similar lo reemplace.</w:t>
      </w:r>
    </w:p>
    <w:p w:rsidR="00E456E5" w:rsidRPr="00E456E5" w:rsidRDefault="00E456E5" w:rsidP="00E456E5">
      <w:pPr>
        <w:spacing w:line="360" w:lineRule="auto"/>
        <w:jc w:val="both"/>
        <w:rPr>
          <w:rFonts w:cs="Arial"/>
          <w:b/>
          <w:color w:val="000000" w:themeColor="text1"/>
          <w:sz w:val="20"/>
        </w:rPr>
      </w:pPr>
      <w:r w:rsidRPr="00E456E5">
        <w:rPr>
          <w:rFonts w:cs="Arial"/>
          <w:b/>
          <w:color w:val="000000" w:themeColor="text1"/>
          <w:sz w:val="20"/>
        </w:rPr>
        <w:tab/>
        <w:t xml:space="preserve">Vale señalar, que la Homologación dispuesta por el Decreto 1246/15, le otorga a nuestro Convenio Colectivo la jerarquía normativa de una Ley, de cumplimiento obligatorio, y que clausura el argumento de su desconocimiento por haber sido dicha Homologación publicada en el Boletín Oficial el día 2 de julio próximo pasado. </w:t>
      </w:r>
    </w:p>
    <w:p w:rsidR="009809CB" w:rsidRPr="00E456E5" w:rsidRDefault="00E456E5" w:rsidP="002E56D9">
      <w:pPr>
        <w:spacing w:line="360" w:lineRule="auto"/>
        <w:jc w:val="both"/>
        <w:rPr>
          <w:rFonts w:cs="Arial"/>
          <w:b/>
          <w:color w:val="000000" w:themeColor="text1"/>
          <w:sz w:val="20"/>
        </w:rPr>
      </w:pPr>
      <w:r w:rsidRPr="00E456E5">
        <w:rPr>
          <w:rFonts w:cs="Arial"/>
          <w:b/>
          <w:color w:val="000000" w:themeColor="text1"/>
          <w:sz w:val="20"/>
        </w:rPr>
        <w:tab/>
      </w:r>
      <w:r w:rsidR="009809CB" w:rsidRPr="00E456E5">
        <w:rPr>
          <w:rFonts w:cs="Arial"/>
          <w:b/>
          <w:color w:val="000000" w:themeColor="text1"/>
          <w:sz w:val="20"/>
        </w:rPr>
        <w:t>Pocas veces en la vida de un sindicato, se puede mostrar un avance de la envergadura de alcanzar la firma de un Convenio Colectivo de Trabajo que abarque a todos los trabajadores del sector, describiendo su trabajo y garantizándoles una importante y común base de derechos. Todos los sindicatos, aun los más grandes que existen en nuestro país, exhiben sus convenios como conquistas y avances para el conjunto de trabajadores que representan. El hecho de que nuestra legislación haya previsto que la firma de un convenio colectivo generado entre trabajadores y representantes de los empleadores del</w:t>
      </w:r>
      <w:r w:rsidR="002E56D9">
        <w:rPr>
          <w:rFonts w:cs="Arial"/>
          <w:b/>
          <w:color w:val="000000" w:themeColor="text1"/>
          <w:sz w:val="20"/>
        </w:rPr>
        <w:t xml:space="preserve"> sector, tenga el valor de una L</w:t>
      </w:r>
      <w:r w:rsidR="009809CB" w:rsidRPr="00E456E5">
        <w:rPr>
          <w:rFonts w:cs="Arial"/>
          <w:b/>
          <w:color w:val="000000" w:themeColor="text1"/>
          <w:sz w:val="20"/>
        </w:rPr>
        <w:t>ey que se genera por fuera de del Congreso de la Nación, le pone un valor extra. Tanta importancia tienen los Convenios Colectivos que cada vez que en nuestra historia se quisieron implementar las políticas más liberalizadoras durante los gobiernos dictatoriales, además de la persecución encarcelamiento y desaparición forzada de los cuerpos de delegados de los sindicatos, se suspendieron los Convenios Colectivos, así como fueron restituidos en los gobiernos democráticos.</w:t>
      </w:r>
    </w:p>
    <w:p w:rsidR="002E56D9" w:rsidRPr="002E56D9" w:rsidRDefault="009809CB" w:rsidP="00AB194C">
      <w:pPr>
        <w:pStyle w:val="NormalWeb"/>
        <w:shd w:val="clear" w:color="auto" w:fill="FFFFFF"/>
        <w:spacing w:line="278" w:lineRule="atLeast"/>
        <w:rPr>
          <w:rFonts w:ascii="Arial" w:hAnsi="Arial" w:cs="Arial"/>
          <w:b/>
          <w:sz w:val="20"/>
          <w:szCs w:val="20"/>
          <w:lang w:val="es-AR"/>
        </w:rPr>
      </w:pPr>
      <w:r w:rsidRPr="00E456E5">
        <w:rPr>
          <w:rFonts w:ascii="Arial" w:hAnsi="Arial" w:cs="Arial"/>
          <w:b/>
          <w:color w:val="000000" w:themeColor="text1"/>
          <w:sz w:val="20"/>
          <w:szCs w:val="20"/>
        </w:rPr>
        <w:t xml:space="preserve">Pero analicemos con más detalle lo </w:t>
      </w:r>
    </w:p>
    <w:p w:rsidR="002E56D9" w:rsidRDefault="002E56D9" w:rsidP="009809CB">
      <w:pPr>
        <w:pStyle w:val="NormalWeb"/>
        <w:shd w:val="clear" w:color="auto" w:fill="FFFFFF"/>
        <w:spacing w:line="278" w:lineRule="atLeast"/>
        <w:rPr>
          <w:rFonts w:ascii="Arial" w:hAnsi="Arial" w:cs="Arial"/>
          <w:b/>
          <w:color w:val="000000" w:themeColor="text1"/>
          <w:sz w:val="20"/>
          <w:szCs w:val="20"/>
        </w:rPr>
      </w:pPr>
    </w:p>
    <w:p w:rsidR="00DA1E3E" w:rsidRDefault="00DA1E3E" w:rsidP="00DA1E3E">
      <w:pPr>
        <w:pStyle w:val="NormalWeb"/>
        <w:shd w:val="clear" w:color="auto" w:fill="FFFFFF"/>
        <w:spacing w:line="278" w:lineRule="atLeast"/>
        <w:jc w:val="right"/>
        <w:rPr>
          <w:rFonts w:ascii="Arial" w:hAnsi="Arial" w:cs="Arial"/>
          <w:b/>
          <w:color w:val="000000" w:themeColor="text1"/>
          <w:sz w:val="20"/>
          <w:szCs w:val="20"/>
        </w:rPr>
      </w:pPr>
      <w:r>
        <w:rPr>
          <w:rFonts w:ascii="Arial" w:hAnsi="Arial" w:cs="Arial"/>
          <w:b/>
          <w:color w:val="000000" w:themeColor="text1"/>
          <w:sz w:val="20"/>
          <w:szCs w:val="20"/>
        </w:rPr>
        <w:t>Ing. Ricardo</w:t>
      </w:r>
      <w:r w:rsidR="00C63FC7">
        <w:rPr>
          <w:rFonts w:ascii="Arial" w:hAnsi="Arial" w:cs="Arial"/>
          <w:b/>
          <w:color w:val="000000" w:themeColor="text1"/>
          <w:sz w:val="20"/>
          <w:szCs w:val="20"/>
        </w:rPr>
        <w:t xml:space="preserve"> Omar</w:t>
      </w:r>
      <w:r>
        <w:rPr>
          <w:rFonts w:ascii="Arial" w:hAnsi="Arial" w:cs="Arial"/>
          <w:b/>
          <w:color w:val="000000" w:themeColor="text1"/>
          <w:sz w:val="20"/>
          <w:szCs w:val="20"/>
        </w:rPr>
        <w:t xml:space="preserve"> Mozzi</w:t>
      </w:r>
    </w:p>
    <w:p w:rsidR="00DA1E3E" w:rsidRDefault="00C63FC7" w:rsidP="00DA1E3E">
      <w:pPr>
        <w:pStyle w:val="NormalWeb"/>
        <w:shd w:val="clear" w:color="auto" w:fill="FFFFFF"/>
        <w:spacing w:line="278" w:lineRule="atLeast"/>
        <w:jc w:val="right"/>
        <w:rPr>
          <w:rFonts w:ascii="Arial" w:hAnsi="Arial" w:cs="Arial"/>
          <w:b/>
          <w:color w:val="000000" w:themeColor="text1"/>
          <w:sz w:val="20"/>
          <w:szCs w:val="20"/>
        </w:rPr>
      </w:pPr>
      <w:r>
        <w:rPr>
          <w:rFonts w:ascii="Arial" w:hAnsi="Arial" w:cs="Arial"/>
          <w:b/>
          <w:color w:val="000000" w:themeColor="text1"/>
          <w:sz w:val="20"/>
          <w:szCs w:val="20"/>
        </w:rPr>
        <w:t>Por</w:t>
      </w:r>
      <w:r w:rsidR="00DA1E3E">
        <w:rPr>
          <w:rFonts w:ascii="Arial" w:hAnsi="Arial" w:cs="Arial"/>
          <w:b/>
          <w:color w:val="000000" w:themeColor="text1"/>
          <w:sz w:val="20"/>
          <w:szCs w:val="20"/>
        </w:rPr>
        <w:t xml:space="preserve"> la Comisión de Convenio Colectivo</w:t>
      </w:r>
    </w:p>
    <w:p w:rsidR="00DA1E3E" w:rsidRPr="002E56D9" w:rsidRDefault="00DA1E3E" w:rsidP="00DA1E3E">
      <w:pPr>
        <w:pStyle w:val="NormalWeb"/>
        <w:shd w:val="clear" w:color="auto" w:fill="FFFFFF"/>
        <w:spacing w:line="278" w:lineRule="atLeast"/>
        <w:jc w:val="right"/>
        <w:rPr>
          <w:rFonts w:ascii="Arial" w:hAnsi="Arial" w:cs="Arial"/>
          <w:b/>
          <w:color w:val="000000" w:themeColor="text1"/>
          <w:sz w:val="20"/>
          <w:szCs w:val="20"/>
        </w:rPr>
      </w:pPr>
      <w:proofErr w:type="spellStart"/>
      <w:r>
        <w:rPr>
          <w:rFonts w:ascii="Arial" w:hAnsi="Arial" w:cs="Arial"/>
          <w:b/>
          <w:color w:val="000000" w:themeColor="text1"/>
          <w:sz w:val="20"/>
          <w:szCs w:val="20"/>
        </w:rPr>
        <w:t>Fagdut</w:t>
      </w:r>
      <w:proofErr w:type="spellEnd"/>
    </w:p>
    <w:sectPr w:rsidR="00DA1E3E" w:rsidRPr="002E56D9" w:rsidSect="00F619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3B1"/>
    <w:multiLevelType w:val="hybridMultilevel"/>
    <w:tmpl w:val="1AA0D8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809CB"/>
    <w:rsid w:val="00030CB7"/>
    <w:rsid w:val="00140775"/>
    <w:rsid w:val="002E56D9"/>
    <w:rsid w:val="002E7D61"/>
    <w:rsid w:val="008A1324"/>
    <w:rsid w:val="009809CB"/>
    <w:rsid w:val="00AB194C"/>
    <w:rsid w:val="00BF6FF1"/>
    <w:rsid w:val="00C074CF"/>
    <w:rsid w:val="00C63FC7"/>
    <w:rsid w:val="00D661C1"/>
    <w:rsid w:val="00DA1E3E"/>
    <w:rsid w:val="00E00B3B"/>
    <w:rsid w:val="00E456E5"/>
    <w:rsid w:val="00ED5684"/>
    <w:rsid w:val="00F42821"/>
    <w:rsid w:val="00F61903"/>
    <w:rsid w:val="00F847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24"/>
    <w:rPr>
      <w:rFonts w:ascii="Arial" w:hAnsi="Arial"/>
      <w:sz w:val="22"/>
      <w:lang w:val="es-ES" w:eastAsia="es-ES"/>
    </w:rPr>
  </w:style>
  <w:style w:type="paragraph" w:styleId="Ttulo1">
    <w:name w:val="heading 1"/>
    <w:basedOn w:val="Normal"/>
    <w:next w:val="Normal"/>
    <w:link w:val="Ttulo1Car"/>
    <w:qFormat/>
    <w:rsid w:val="008A1324"/>
    <w:pPr>
      <w:keepNext/>
      <w:jc w:val="center"/>
      <w:outlineLvl w:val="0"/>
    </w:pPr>
    <w:rPr>
      <w:b/>
      <w:sz w:val="28"/>
      <w:lang w:val="es-ES_tradnl"/>
    </w:rPr>
  </w:style>
  <w:style w:type="paragraph" w:styleId="Ttulo2">
    <w:name w:val="heading 2"/>
    <w:basedOn w:val="Normal"/>
    <w:next w:val="Normal"/>
    <w:link w:val="Ttulo2Car"/>
    <w:qFormat/>
    <w:rsid w:val="008A1324"/>
    <w:pPr>
      <w:keepNext/>
      <w:jc w:val="both"/>
      <w:outlineLvl w:val="1"/>
    </w:pPr>
    <w:rPr>
      <w:sz w:val="24"/>
      <w:lang w:val="es-ES_tradnl"/>
    </w:rPr>
  </w:style>
  <w:style w:type="paragraph" w:styleId="Ttulo3">
    <w:name w:val="heading 3"/>
    <w:basedOn w:val="Normal"/>
    <w:next w:val="Normal"/>
    <w:link w:val="Ttulo3Car"/>
    <w:qFormat/>
    <w:rsid w:val="008A1324"/>
    <w:pPr>
      <w:keepNext/>
      <w:outlineLvl w:val="2"/>
    </w:pPr>
    <w:rPr>
      <w:b/>
      <w:sz w:val="20"/>
      <w:lang w:val="es-ES_tradnl"/>
    </w:rPr>
  </w:style>
  <w:style w:type="paragraph" w:styleId="Ttulo4">
    <w:name w:val="heading 4"/>
    <w:basedOn w:val="Normal"/>
    <w:next w:val="Normal"/>
    <w:link w:val="Ttulo4Car"/>
    <w:qFormat/>
    <w:rsid w:val="008A132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A1324"/>
    <w:pPr>
      <w:spacing w:before="240" w:after="60"/>
      <w:outlineLvl w:val="4"/>
    </w:pPr>
    <w:rPr>
      <w:b/>
      <w:bCs/>
      <w:i/>
      <w:iCs/>
      <w:sz w:val="26"/>
      <w:szCs w:val="26"/>
    </w:rPr>
  </w:style>
  <w:style w:type="paragraph" w:styleId="Ttulo6">
    <w:name w:val="heading 6"/>
    <w:basedOn w:val="Normal"/>
    <w:next w:val="Normal"/>
    <w:link w:val="Ttulo6Car"/>
    <w:qFormat/>
    <w:rsid w:val="008A1324"/>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8A1324"/>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8A1324"/>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A1324"/>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1324"/>
    <w:rPr>
      <w:rFonts w:ascii="Arial" w:hAnsi="Arial"/>
      <w:b/>
      <w:sz w:val="28"/>
      <w:lang w:val="es-ES_tradnl" w:eastAsia="es-ES"/>
    </w:rPr>
  </w:style>
  <w:style w:type="character" w:customStyle="1" w:styleId="Ttulo2Car">
    <w:name w:val="Título 2 Car"/>
    <w:basedOn w:val="Fuentedeprrafopredeter"/>
    <w:link w:val="Ttulo2"/>
    <w:rsid w:val="008A1324"/>
    <w:rPr>
      <w:rFonts w:ascii="Arial" w:hAnsi="Arial"/>
      <w:sz w:val="24"/>
      <w:lang w:val="es-ES_tradnl" w:eastAsia="es-ES"/>
    </w:rPr>
  </w:style>
  <w:style w:type="character" w:customStyle="1" w:styleId="Ttulo3Car">
    <w:name w:val="Título 3 Car"/>
    <w:basedOn w:val="Fuentedeprrafopredeter"/>
    <w:link w:val="Ttulo3"/>
    <w:rsid w:val="008A1324"/>
    <w:rPr>
      <w:rFonts w:ascii="Arial" w:hAnsi="Arial"/>
      <w:b/>
      <w:lang w:val="es-ES_tradnl" w:eastAsia="es-ES"/>
    </w:rPr>
  </w:style>
  <w:style w:type="character" w:customStyle="1" w:styleId="Ttulo4Car">
    <w:name w:val="Título 4 Car"/>
    <w:basedOn w:val="Fuentedeprrafopredeter"/>
    <w:link w:val="Ttulo4"/>
    <w:rsid w:val="008A1324"/>
    <w:rPr>
      <w:b/>
      <w:bCs/>
      <w:sz w:val="28"/>
      <w:szCs w:val="28"/>
      <w:lang w:val="es-ES" w:eastAsia="es-ES"/>
    </w:rPr>
  </w:style>
  <w:style w:type="character" w:customStyle="1" w:styleId="Ttulo5Car">
    <w:name w:val="Título 5 Car"/>
    <w:basedOn w:val="Fuentedeprrafopredeter"/>
    <w:link w:val="Ttulo5"/>
    <w:rsid w:val="008A1324"/>
    <w:rPr>
      <w:rFonts w:ascii="Arial" w:hAnsi="Arial"/>
      <w:b/>
      <w:bCs/>
      <w:i/>
      <w:iCs/>
      <w:sz w:val="26"/>
      <w:szCs w:val="26"/>
      <w:lang w:val="es-ES" w:eastAsia="es-ES"/>
    </w:rPr>
  </w:style>
  <w:style w:type="character" w:customStyle="1" w:styleId="Ttulo6Car">
    <w:name w:val="Título 6 Car"/>
    <w:basedOn w:val="Fuentedeprrafopredeter"/>
    <w:link w:val="Ttulo6"/>
    <w:rsid w:val="008A1324"/>
    <w:rPr>
      <w:b/>
      <w:bCs/>
      <w:sz w:val="22"/>
      <w:szCs w:val="22"/>
      <w:lang w:val="es-ES" w:eastAsia="es-ES"/>
    </w:rPr>
  </w:style>
  <w:style w:type="character" w:customStyle="1" w:styleId="Ttulo7Car">
    <w:name w:val="Título 7 Car"/>
    <w:basedOn w:val="Fuentedeprrafopredeter"/>
    <w:link w:val="Ttulo7"/>
    <w:rsid w:val="008A1324"/>
    <w:rPr>
      <w:sz w:val="24"/>
      <w:szCs w:val="24"/>
      <w:lang w:val="es-ES" w:eastAsia="es-ES"/>
    </w:rPr>
  </w:style>
  <w:style w:type="character" w:customStyle="1" w:styleId="Ttulo8Car">
    <w:name w:val="Título 8 Car"/>
    <w:basedOn w:val="Fuentedeprrafopredeter"/>
    <w:link w:val="Ttulo8"/>
    <w:rsid w:val="008A1324"/>
    <w:rPr>
      <w:i/>
      <w:iCs/>
      <w:sz w:val="24"/>
      <w:szCs w:val="24"/>
      <w:lang w:val="es-ES" w:eastAsia="es-ES"/>
    </w:rPr>
  </w:style>
  <w:style w:type="character" w:customStyle="1" w:styleId="Ttulo9Car">
    <w:name w:val="Título 9 Car"/>
    <w:basedOn w:val="Fuentedeprrafopredeter"/>
    <w:link w:val="Ttulo9"/>
    <w:rsid w:val="008A1324"/>
    <w:rPr>
      <w:rFonts w:ascii="Arial" w:hAnsi="Arial" w:cs="Arial"/>
      <w:sz w:val="22"/>
      <w:szCs w:val="22"/>
      <w:lang w:val="es-ES" w:eastAsia="es-ES"/>
    </w:rPr>
  </w:style>
  <w:style w:type="paragraph" w:styleId="Epgrafe">
    <w:name w:val="caption"/>
    <w:basedOn w:val="Normal"/>
    <w:next w:val="Normal"/>
    <w:qFormat/>
    <w:rsid w:val="008A1324"/>
    <w:pPr>
      <w:spacing w:before="120" w:after="120"/>
    </w:pPr>
    <w:rPr>
      <w:b/>
      <w:bCs/>
      <w:sz w:val="20"/>
    </w:rPr>
  </w:style>
  <w:style w:type="paragraph" w:styleId="Ttulo">
    <w:name w:val="Title"/>
    <w:basedOn w:val="Normal"/>
    <w:link w:val="TtuloCar"/>
    <w:qFormat/>
    <w:rsid w:val="008A1324"/>
    <w:pPr>
      <w:spacing w:before="240" w:after="60"/>
      <w:jc w:val="center"/>
      <w:outlineLvl w:val="0"/>
    </w:pPr>
    <w:rPr>
      <w:rFonts w:cs="Arial"/>
      <w:b/>
      <w:bCs/>
      <w:kern w:val="28"/>
      <w:sz w:val="32"/>
      <w:szCs w:val="32"/>
    </w:rPr>
  </w:style>
  <w:style w:type="character" w:customStyle="1" w:styleId="TtuloCar">
    <w:name w:val="Título Car"/>
    <w:basedOn w:val="Fuentedeprrafopredeter"/>
    <w:link w:val="Ttulo"/>
    <w:rsid w:val="008A1324"/>
    <w:rPr>
      <w:rFonts w:ascii="Arial" w:hAnsi="Arial" w:cs="Arial"/>
      <w:b/>
      <w:bCs/>
      <w:kern w:val="28"/>
      <w:sz w:val="32"/>
      <w:szCs w:val="32"/>
      <w:lang w:val="es-ES" w:eastAsia="es-ES"/>
    </w:rPr>
  </w:style>
  <w:style w:type="paragraph" w:styleId="Subttulo">
    <w:name w:val="Subtitle"/>
    <w:basedOn w:val="Normal"/>
    <w:link w:val="SubttuloCar"/>
    <w:qFormat/>
    <w:rsid w:val="008A1324"/>
    <w:pPr>
      <w:spacing w:after="60"/>
      <w:jc w:val="center"/>
      <w:outlineLvl w:val="1"/>
    </w:pPr>
    <w:rPr>
      <w:rFonts w:cs="Arial"/>
      <w:sz w:val="24"/>
      <w:szCs w:val="24"/>
    </w:rPr>
  </w:style>
  <w:style w:type="character" w:customStyle="1" w:styleId="SubttuloCar">
    <w:name w:val="Subtítulo Car"/>
    <w:basedOn w:val="Fuentedeprrafopredeter"/>
    <w:link w:val="Subttulo"/>
    <w:rsid w:val="008A1324"/>
    <w:rPr>
      <w:rFonts w:ascii="Arial" w:hAnsi="Arial" w:cs="Arial"/>
      <w:sz w:val="24"/>
      <w:szCs w:val="24"/>
      <w:lang w:val="es-ES" w:eastAsia="es-ES"/>
    </w:rPr>
  </w:style>
  <w:style w:type="paragraph" w:styleId="NormalWeb">
    <w:name w:val="Normal (Web)"/>
    <w:basedOn w:val="Normal"/>
    <w:unhideWhenUsed/>
    <w:rsid w:val="009809CB"/>
    <w:pPr>
      <w:spacing w:before="100" w:beforeAutospacing="1" w:after="100" w:afterAutospacing="1"/>
    </w:pPr>
    <w:rPr>
      <w:rFonts w:ascii="Times New Roman" w:hAnsi="Times New Roman"/>
      <w:sz w:val="24"/>
      <w:szCs w:val="24"/>
    </w:rPr>
  </w:style>
  <w:style w:type="character" w:styleId="Textoennegrita">
    <w:name w:val="Strong"/>
    <w:basedOn w:val="Fuentedeprrafopredeter"/>
    <w:qFormat/>
    <w:rsid w:val="009809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4861">
      <w:bodyDiv w:val="1"/>
      <w:marLeft w:val="0"/>
      <w:marRight w:val="0"/>
      <w:marTop w:val="0"/>
      <w:marBottom w:val="0"/>
      <w:divBdr>
        <w:top w:val="none" w:sz="0" w:space="0" w:color="auto"/>
        <w:left w:val="none" w:sz="0" w:space="0" w:color="auto"/>
        <w:bottom w:val="none" w:sz="0" w:space="0" w:color="auto"/>
        <w:right w:val="none" w:sz="0" w:space="0" w:color="auto"/>
      </w:divBdr>
    </w:div>
    <w:div w:id="20391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EET5</dc:creator>
  <cp:lastModifiedBy>Dirección EET5</cp:lastModifiedBy>
  <cp:revision>6</cp:revision>
  <dcterms:created xsi:type="dcterms:W3CDTF">2015-08-27T18:03:00Z</dcterms:created>
  <dcterms:modified xsi:type="dcterms:W3CDTF">2015-08-31T17:36:00Z</dcterms:modified>
</cp:coreProperties>
</file>